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方正黑体_GBK" w:hAnsi="方正黑体_GBK" w:eastAsia="方正黑体_GBK" w:cs="方正黑体_GBK"/>
          <w:sz w:val="30"/>
          <w:szCs w:val="30"/>
          <w:lang w:val="en-US" w:eastAsia="zh-CN"/>
        </w:rPr>
      </w:pPr>
      <w:r>
        <w:rPr>
          <w:rFonts w:hint="eastAsia" w:ascii="仿宋_GB2312" w:hAnsi="等线" w:eastAsia="仿宋_GB2312" w:cs="仿宋_GB2312"/>
          <w:kern w:val="2"/>
          <w:sz w:val="32"/>
          <w:szCs w:val="32"/>
          <w:lang w:val="en-US" w:eastAsia="zh-CN" w:bidi="ar"/>
        </w:rPr>
        <w:t>附件1：</w:t>
      </w:r>
    </w:p>
    <w:p>
      <w:pPr>
        <w:keepNext w:val="0"/>
        <w:keepLines w:val="0"/>
        <w:widowControl w:val="0"/>
        <w:suppressLineNumbers w:val="0"/>
        <w:spacing w:before="0" w:beforeAutospacing="0" w:after="0" w:afterAutospacing="0" w:line="640" w:lineRule="exact"/>
        <w:ind w:left="0" w:right="0"/>
        <w:jc w:val="both"/>
        <w:rPr>
          <w:rFonts w:hint="eastAsia" w:ascii="CESI小标宋-GB13000" w:hAnsi="CESI小标宋-GB13000" w:eastAsia="CESI小标宋-GB13000" w:cs="CESI小标宋-GB13000"/>
          <w:sz w:val="44"/>
          <w:szCs w:val="44"/>
          <w:lang w:val="en-US" w:eastAsia="zh-CN"/>
        </w:rPr>
      </w:pPr>
    </w:p>
    <w:p>
      <w:pPr>
        <w:keepNext w:val="0"/>
        <w:keepLines w:val="0"/>
        <w:widowControl w:val="0"/>
        <w:suppressLineNumbers w:val="0"/>
        <w:spacing w:before="0" w:beforeAutospacing="0" w:after="0" w:afterAutospacing="0" w:line="640" w:lineRule="exact"/>
        <w:ind w:left="0" w:right="0"/>
        <w:jc w:val="center"/>
        <w:rPr>
          <w:rFonts w:hint="eastAsia" w:ascii="方正小标宋简体" w:hAnsi="Times New Roman" w:eastAsia="方正小标宋简体" w:cs="方正小标宋简体"/>
          <w:kern w:val="2"/>
          <w:sz w:val="44"/>
          <w:szCs w:val="44"/>
          <w:lang w:val="en-US" w:eastAsia="zh-CN" w:bidi="ar"/>
        </w:rPr>
      </w:pPr>
      <w:r>
        <w:rPr>
          <w:rFonts w:hint="eastAsia" w:ascii="方正小标宋简体" w:hAnsi="Times New Roman" w:eastAsia="方正小标宋简体" w:cs="方正小标宋简体"/>
          <w:kern w:val="2"/>
          <w:sz w:val="44"/>
          <w:szCs w:val="44"/>
          <w:lang w:val="en-US" w:eastAsia="zh-CN" w:bidi="ar"/>
        </w:rPr>
        <w:t>首届各省市区社科普及基地</w:t>
      </w:r>
    </w:p>
    <w:p>
      <w:pPr>
        <w:keepNext w:val="0"/>
        <w:keepLines w:val="0"/>
        <w:widowControl w:val="0"/>
        <w:suppressLineNumbers w:val="0"/>
        <w:spacing w:before="0" w:beforeAutospacing="0" w:after="0" w:afterAutospacing="0" w:line="640" w:lineRule="exact"/>
        <w:ind w:left="0" w:right="0"/>
        <w:jc w:val="center"/>
        <w:rPr>
          <w:rFonts w:hint="eastAsia" w:ascii="方正小标宋简体" w:hAnsi="Times New Roman" w:eastAsia="方正小标宋简体" w:cs="方正小标宋简体"/>
          <w:sz w:val="44"/>
          <w:szCs w:val="44"/>
          <w:lang w:val="en-US"/>
        </w:rPr>
      </w:pPr>
      <w:r>
        <w:rPr>
          <w:rFonts w:hint="eastAsia" w:ascii="方正小标宋简体" w:hAnsi="Times New Roman" w:eastAsia="方正小标宋简体" w:cs="方正小标宋简体"/>
          <w:kern w:val="2"/>
          <w:sz w:val="44"/>
          <w:szCs w:val="44"/>
          <w:lang w:val="en-US" w:eastAsia="zh-CN" w:bidi="ar"/>
        </w:rPr>
        <w:t>讲解员大赛规则</w:t>
      </w:r>
    </w:p>
    <w:p>
      <w:pPr>
        <w:keepNext w:val="0"/>
        <w:keepLines w:val="0"/>
        <w:widowControl w:val="0"/>
        <w:suppressLineNumbers w:val="0"/>
        <w:spacing w:before="0" w:beforeAutospacing="0" w:after="0" w:afterAutospacing="0" w:line="360" w:lineRule="auto"/>
        <w:ind w:left="0" w:right="0"/>
        <w:jc w:val="both"/>
        <w:outlineLvl w:val="0"/>
        <w:rPr>
          <w:rFonts w:hint="default" w:ascii="Times New Roman" w:hAnsi="Times New Roman" w:eastAsia="方正小标宋简体" w:cs="Times New Roman"/>
          <w:b/>
          <w:bCs w:val="0"/>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120" w:beforeLines="50" w:beforeAutospacing="0" w:after="120" w:afterLines="50" w:afterAutospacing="0" w:line="580" w:lineRule="exact"/>
        <w:ind w:left="0" w:right="0" w:firstLine="640" w:firstLineChars="200"/>
        <w:jc w:val="both"/>
        <w:textAlignment w:val="auto"/>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一、比赛环节和内容</w:t>
      </w:r>
    </w:p>
    <w:p>
      <w:pPr>
        <w:keepNext w:val="0"/>
        <w:keepLines w:val="0"/>
        <w:pageBreakBefore w:val="0"/>
        <w:widowControl w:val="0"/>
        <w:suppressLineNumbers w:val="0"/>
        <w:kinsoku/>
        <w:wordWrap/>
        <w:overflowPunct/>
        <w:topLinePunct w:val="0"/>
        <w:autoSpaceDE/>
        <w:autoSpaceDN/>
        <w:bidi w:val="0"/>
        <w:adjustRightInd/>
        <w:snapToGrid/>
        <w:spacing w:before="120" w:beforeLines="50" w:beforeAutospacing="0" w:after="120" w:afterLines="50" w:afterAutospacing="0" w:line="58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比赛采用视频作品形式参赛。设个人展示、自选讲解比赛环节。</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（一）个人展示。</w:t>
      </w:r>
      <w:r>
        <w:rPr>
          <w:rFonts w:hint="eastAsia" w:ascii="仿宋_GB2312" w:hAnsi="仿宋_GB2312" w:eastAsia="仿宋_GB2312" w:cs="仿宋_GB2312"/>
          <w:sz w:val="32"/>
          <w:szCs w:val="32"/>
          <w:lang w:eastAsia="zh-CN"/>
        </w:rPr>
        <w:t>以展示各地社科普及基地承载的精神力量和参赛选手个人的家国情怀、精神风貌为主题，结合自我职业介绍、职业感悟进行编排、展示。</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（二）自选讲解。</w:t>
      </w:r>
      <w:r>
        <w:rPr>
          <w:rFonts w:hint="eastAsia" w:ascii="仿宋_GB2312" w:hAnsi="仿宋_GB2312" w:eastAsia="仿宋_GB2312" w:cs="仿宋_GB2312"/>
          <w:sz w:val="32"/>
          <w:szCs w:val="32"/>
          <w:lang w:eastAsia="zh-CN"/>
        </w:rPr>
        <w:t>以所在地区代表性的绿色故事为主题，以小见大呈现</w:t>
      </w:r>
      <w:r>
        <w:rPr>
          <w:rFonts w:hint="eastAsia" w:ascii="仿宋_GB2312" w:hAnsi="仿宋_GB2312" w:eastAsia="仿宋_GB2312" w:cs="仿宋_GB2312"/>
          <w:sz w:val="32"/>
          <w:szCs w:val="32"/>
          <w:lang w:val="en-US" w:eastAsia="zh-CN"/>
        </w:rPr>
        <w:t>各地深入学习贯彻习近平生态文明思想，在生态文明建设和生态环境保护方面取得的成就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（三）视频要求。</w:t>
      </w:r>
      <w:r>
        <w:rPr>
          <w:rFonts w:hint="eastAsia" w:ascii="仿宋_GB2312" w:hAnsi="仿宋_GB2312" w:eastAsia="仿宋_GB2312" w:cs="仿宋_GB2312"/>
          <w:sz w:val="32"/>
          <w:szCs w:val="32"/>
          <w:lang w:val="en-US" w:eastAsia="zh-CN"/>
        </w:rPr>
        <w:t>时长控制在6-8分钟（个人展示1分钟以内、讲解5-7分钟），使用普通话，要求语言清晰、流畅，可配制字幕，可采用视频、音效、PPT、Flash等形式配合主题内容的讲解。视频格式为MP4，分辨率不低于1280*720，码流不小于25M/秒。视频画面干净，不带角标、台标、水印或者 LOGO。</w:t>
      </w:r>
    </w:p>
    <w:p>
      <w:pPr>
        <w:autoSpaceDE/>
        <w:autoSpaceDN/>
        <w:spacing w:before="0" w:after="0" w:line="240" w:lineRule="auto"/>
        <w:ind w:left="0" w:right="0" w:firstLine="643"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（四）版权要求。</w:t>
      </w:r>
      <w:r>
        <w:rPr>
          <w:rFonts w:hint="eastAsia" w:ascii="仿宋_GB2312" w:hAnsi="仿宋_GB2312" w:eastAsia="仿宋_GB2312" w:cs="仿宋_GB2312"/>
          <w:color w:val="000000"/>
          <w:kern w:val="2"/>
          <w:sz w:val="32"/>
          <w:szCs w:val="32"/>
          <w:lang w:val="en-US" w:eastAsia="zh-CN" w:bidi="ar-SA"/>
        </w:rPr>
        <w:t>参赛作者应确保对报送视频作品拥有独立、完整的著作权，确保不侵犯第三方著作权、肖像权、名誉权、隐私权等在内的任何权利。主办单位对入选、获奖作品享有公益发布和展播权。</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二、评分和计分</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评委根据大赛评分表，从讲解内容（个人展示、自选讲解）、讲解技巧、形象风度、感染力等</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个方面，进行综合评判，公平、公正、客观的进行现场评分。评分采取</w:t>
      </w:r>
      <w:r>
        <w:rPr>
          <w:rFonts w:hint="default"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分制。其中个人展示30分、自选讲解30分、讲解技巧30分、形象风度5分、视频效果5分。</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评审工作在视频会议室进行。组成评委会，评委进入会议室，通过线下观看视频，在视频会议室现场打分，工作人员汇总统计分数，形成打分排序结果，再次请评委会审定后宣布。统计方法：去掉</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个最高分、</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个最低分，取其余评委分数的平均值（保留小数点后两位）为选手最终得分，当场公布评分结果。</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复赛：</w:t>
      </w:r>
      <w:r>
        <w:rPr>
          <w:rFonts w:hint="eastAsia" w:ascii="仿宋_GB2312" w:hAnsi="仿宋_GB2312" w:eastAsia="仿宋_GB2312" w:cs="仿宋_GB2312"/>
          <w:sz w:val="32"/>
          <w:szCs w:val="32"/>
          <w:lang w:eastAsia="zh-CN"/>
        </w:rPr>
        <w:t>决出三等奖获奖选手，每组推出前</w:t>
      </w:r>
      <w:r>
        <w:rPr>
          <w:rFonts w:hint="eastAsia" w:ascii="仿宋_GB2312" w:hAnsi="仿宋_GB2312" w:eastAsia="仿宋_GB2312" w:cs="仿宋_GB2312"/>
          <w:sz w:val="32"/>
          <w:szCs w:val="32"/>
          <w:lang w:val="en-US" w:eastAsia="zh-CN"/>
        </w:rPr>
        <w:t>5名选手进入决赛，其余选手为优秀奖。复赛</w:t>
      </w:r>
      <w:r>
        <w:rPr>
          <w:rFonts w:hint="eastAsia" w:ascii="仿宋_GB2312" w:hAnsi="仿宋_GB2312" w:eastAsia="仿宋_GB2312" w:cs="仿宋_GB2312"/>
          <w:sz w:val="32"/>
          <w:szCs w:val="32"/>
          <w:lang w:eastAsia="zh-CN"/>
        </w:rPr>
        <w:t>采取分组评审方式，一般情况下，本省推荐的评委不评本省推荐的选手。</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决赛：</w:t>
      </w:r>
      <w:r>
        <w:rPr>
          <w:rFonts w:hint="eastAsia" w:ascii="仿宋_GB2312" w:hAnsi="仿宋_GB2312" w:eastAsia="仿宋_GB2312" w:cs="仿宋_GB2312"/>
          <w:sz w:val="32"/>
          <w:szCs w:val="32"/>
          <w:lang w:val="en-US" w:eastAsia="zh-CN"/>
        </w:rPr>
        <w:t>决出一等奖获奖选手，其余选手为二等奖。由各省市区评委全员参加评审。</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最佳人气奖：</w:t>
      </w:r>
      <w:r>
        <w:rPr>
          <w:rFonts w:hint="eastAsia" w:ascii="仿宋_GB2312" w:hAnsi="仿宋_GB2312" w:eastAsia="仿宋_GB2312" w:cs="仿宋_GB2312"/>
          <w:sz w:val="32"/>
          <w:szCs w:val="32"/>
          <w:lang w:val="en-US" w:eastAsia="zh-CN"/>
        </w:rPr>
        <w:t>最佳人气奖为视频制作团队奖，根据社会公众网络投票结果产生，前10名为最佳人气奖，最佳人气奖可以和其他奖项交叉。</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三、奖项设置</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本次大赛设一等奖10名、二等奖15名、三等奖20名，颁发荣誉证书和奖金。设最佳人气奖（视频制作团队奖）10名，颁发荣誉证书及奖金。设优秀奖若干，颁发荣誉证书。</w:t>
      </w:r>
    </w:p>
    <w:p>
      <w:pPr>
        <w:autoSpaceDE/>
        <w:autoSpaceDN/>
        <w:spacing w:before="0" w:after="0" w:line="240" w:lineRule="auto"/>
        <w:ind w:left="0" w:right="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四、评分表</w:t>
      </w:r>
    </w:p>
    <w:p>
      <w:pPr>
        <w:keepNext w:val="0"/>
        <w:keepLines w:val="0"/>
        <w:widowControl w:val="0"/>
        <w:suppressLineNumbers w:val="0"/>
        <w:adjustRightInd w:val="0"/>
        <w:snapToGrid w:val="0"/>
        <w:spacing w:before="0" w:beforeAutospacing="0" w:after="96" w:afterLines="40" w:afterAutospacing="0" w:line="360" w:lineRule="exact"/>
        <w:ind w:left="0" w:right="0"/>
        <w:jc w:val="both"/>
        <w:rPr>
          <w:rFonts w:hint="default" w:eastAsia="方正仿宋_GBK"/>
          <w:snapToGrid w:val="0"/>
          <w:sz w:val="24"/>
          <w:szCs w:val="22"/>
          <w:u w:val="none"/>
          <w:lang w:val="en-US"/>
        </w:rPr>
      </w:pPr>
      <w:r>
        <w:rPr>
          <w:rFonts w:hint="eastAsia" w:ascii="等线" w:hAnsi="方正仿宋_GBK" w:eastAsia="方正仿宋_GBK" w:cs="方正仿宋_GBK"/>
          <w:snapToGrid w:val="0"/>
          <w:kern w:val="2"/>
          <w:sz w:val="24"/>
          <w:szCs w:val="22"/>
          <w:lang w:val="en-US" w:eastAsia="zh-CN" w:bidi="ar"/>
        </w:rPr>
        <w:t>选手序号：</w:t>
      </w:r>
      <w:r>
        <w:rPr>
          <w:rFonts w:hint="eastAsia" w:ascii="等线" w:hAnsi="等线" w:eastAsia="方正仿宋_GBK" w:cs="Times New Roman"/>
          <w:kern w:val="2"/>
          <w:sz w:val="24"/>
          <w:szCs w:val="22"/>
          <w:u w:val="single"/>
          <w:lang w:val="en-US" w:eastAsia="zh-CN" w:bidi="ar"/>
        </w:rPr>
        <w:t xml:space="preserve">             </w:t>
      </w:r>
      <w:r>
        <w:rPr>
          <w:rFonts w:hint="eastAsia" w:ascii="等线" w:hAnsi="方正仿宋_GBK" w:eastAsia="方正仿宋_GBK" w:cs="方正仿宋_GBK"/>
          <w:snapToGrid w:val="0"/>
          <w:kern w:val="2"/>
          <w:sz w:val="24"/>
          <w:szCs w:val="22"/>
          <w:lang w:val="en-US" w:eastAsia="zh-CN" w:bidi="ar"/>
        </w:rPr>
        <w:t xml:space="preserve">  选手姓名：</w:t>
      </w:r>
      <w:r>
        <w:rPr>
          <w:rFonts w:hint="eastAsia" w:ascii="等线" w:hAnsi="等线" w:eastAsia="方正仿宋_GBK" w:cs="Times New Roman"/>
          <w:kern w:val="2"/>
          <w:sz w:val="24"/>
          <w:szCs w:val="22"/>
          <w:u w:val="single"/>
          <w:lang w:val="en-US" w:eastAsia="zh-CN" w:bidi="ar"/>
        </w:rPr>
        <w:t xml:space="preserve">                </w:t>
      </w:r>
      <w:r>
        <w:rPr>
          <w:rFonts w:hint="eastAsia" w:ascii="等线" w:hAnsi="等线" w:eastAsia="方正仿宋_GBK" w:cs="Times New Roman"/>
          <w:kern w:val="2"/>
          <w:sz w:val="24"/>
          <w:szCs w:val="22"/>
          <w:u w:val="none"/>
          <w:lang w:val="en-US" w:eastAsia="zh-CN" w:bidi="ar"/>
        </w:rPr>
        <w:t xml:space="preserve"> </w:t>
      </w:r>
    </w:p>
    <w:tbl>
      <w:tblPr>
        <w:tblStyle w:val="8"/>
        <w:tblW w:w="83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1020"/>
        <w:gridCol w:w="4840"/>
        <w:gridCol w:w="695"/>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25"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评分项目</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评分要点</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分值</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个人展示</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1.展示内容：以展示各地社科普及基地荷载的精神力量和参赛选手个人的家国情怀、精神风貌为主题，结合自我职业介绍、职业感悟进行编排、展示。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2.结构：逻辑清晰、构思巧妙，引人入胜。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3.语言：措辞准确、简练流畅。</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自选讲解</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1.讲解内容：以所在地区代表性的绿色故事为主题，以小见大呈现各地深入学习贯彻习近平生态文明思想，在生态文明建设和生态环境保护方面取得的成就。</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2.结构：逻辑清晰、构思巧妙，引人入胜。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3.语言：措辞准确、简练流畅。</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讲解技巧</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1.发音规范：普通话标准，口齿清晰，声音圆润洪亮。</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2.语言表达：脱稿演讲，熟练、准确、流畅、自然；语速恰当，语气、语调、音量、节奏张弛符合思想感情的起伏变化。</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3.态势语言：肢体语言使用恰当，包括姿态、动作、手势、表情，恰到好处。</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4.感染力：演讲具有较强的吸引力和号召力，能较好地与听众感情融合在一起，营造良好的演讲效果。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形象风度</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（5分）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着装整洁、端庄、大方，举止自然得体，有风度</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视频效果</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（5分）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可采用视频、音效、PPT、Flash等形式配合故事的讲解，用时准确，视频效果好。</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trPr>
        <w:tc>
          <w:tcPr>
            <w:tcW w:w="10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评委签名</w:t>
            </w:r>
          </w:p>
        </w:tc>
        <w:tc>
          <w:tcPr>
            <w:tcW w:w="48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both"/>
              <w:rPr>
                <w:rFonts w:hint="eastAsia" w:ascii="仿宋_GB2312" w:hAnsi="仿宋_GB2312" w:eastAsia="仿宋_GB2312" w:cs="仿宋_GB2312"/>
                <w:snapToGrid w:val="0"/>
                <w:color w:val="000000"/>
                <w:sz w:val="24"/>
                <w:szCs w:val="22"/>
                <w:lang w:val="en-US" w:eastAsia="zh-CN"/>
              </w:rPr>
            </w:pPr>
          </w:p>
        </w:tc>
        <w:tc>
          <w:tcPr>
            <w:tcW w:w="6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ESI小标宋-GB13000">
    <w:altName w:val="宋体"/>
    <w:panose1 w:val="02000500000000000000"/>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PAGE  \* MERGEFORMAT </w:instrText>
                          </w:r>
                          <w:r>
                            <w:rPr>
                              <w:rFonts w:hint="eastAsia" w:ascii="楷体_GB2312" w:hAnsi="楷体_GB2312" w:eastAsia="楷体_GB2312" w:cs="楷体_GB2312"/>
                            </w:rPr>
                            <w:fldChar w:fldCharType="separate"/>
                          </w:r>
                          <w:r>
                            <w:rPr>
                              <w:rFonts w:hint="eastAsia" w:ascii="楷体_GB2312" w:hAnsi="楷体_GB2312" w:eastAsia="楷体_GB2312" w:cs="楷体_GB2312"/>
                            </w:rPr>
                            <w:t>1</w:t>
                          </w:r>
                          <w:r>
                            <w:rPr>
                              <w:rFonts w:hint="eastAsia" w:ascii="楷体_GB2312" w:hAnsi="楷体_GB2312" w:eastAsia="楷体_GB2312" w:cs="楷体_GB2312"/>
                            </w:rPr>
                            <w:fldChar w:fldCharType="end"/>
                          </w:r>
                          <w:r>
                            <w:rPr>
                              <w:rFonts w:hint="eastAsia" w:ascii="楷体_GB2312" w:hAnsi="楷体_GB2312" w:eastAsia="楷体_GB2312" w:cs="楷体_GB2312"/>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楷体_GB2312"/>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PAGE  \* MERGEFORMAT </w:instrText>
                    </w:r>
                    <w:r>
                      <w:rPr>
                        <w:rFonts w:hint="eastAsia" w:ascii="楷体_GB2312" w:hAnsi="楷体_GB2312" w:eastAsia="楷体_GB2312" w:cs="楷体_GB2312"/>
                      </w:rPr>
                      <w:fldChar w:fldCharType="separate"/>
                    </w:r>
                    <w:r>
                      <w:rPr>
                        <w:rFonts w:hint="eastAsia" w:ascii="楷体_GB2312" w:hAnsi="楷体_GB2312" w:eastAsia="楷体_GB2312" w:cs="楷体_GB2312"/>
                      </w:rPr>
                      <w:t>1</w:t>
                    </w:r>
                    <w:r>
                      <w:rPr>
                        <w:rFonts w:hint="eastAsia" w:ascii="楷体_GB2312" w:hAnsi="楷体_GB2312" w:eastAsia="楷体_GB2312" w:cs="楷体_GB2312"/>
                      </w:rPr>
                      <w:fldChar w:fldCharType="end"/>
                    </w:r>
                    <w:r>
                      <w:rPr>
                        <w:rFonts w:hint="eastAsia" w:ascii="楷体_GB2312" w:hAnsi="楷体_GB2312" w:eastAsia="楷体_GB2312" w:cs="楷体_GB231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zE1MjNhN2VhYmZiNWJlNmNkMTNhOTdkNzExMjUifQ=="/>
  </w:docVars>
  <w:rsids>
    <w:rsidRoot w:val="00172A27"/>
    <w:rsid w:val="003B08A9"/>
    <w:rsid w:val="01186079"/>
    <w:rsid w:val="06BE09A7"/>
    <w:rsid w:val="0BE558BF"/>
    <w:rsid w:val="1515431D"/>
    <w:rsid w:val="1B403A15"/>
    <w:rsid w:val="1D7002D2"/>
    <w:rsid w:val="311F1F76"/>
    <w:rsid w:val="34516A90"/>
    <w:rsid w:val="361B579B"/>
    <w:rsid w:val="373E2FD6"/>
    <w:rsid w:val="3AA60E9C"/>
    <w:rsid w:val="3BB5426E"/>
    <w:rsid w:val="3FBC0F66"/>
    <w:rsid w:val="45F26413"/>
    <w:rsid w:val="46C04E6D"/>
    <w:rsid w:val="474C1933"/>
    <w:rsid w:val="47A270D7"/>
    <w:rsid w:val="531E0819"/>
    <w:rsid w:val="53616123"/>
    <w:rsid w:val="5386227C"/>
    <w:rsid w:val="54A61F81"/>
    <w:rsid w:val="56173AF7"/>
    <w:rsid w:val="57767A19"/>
    <w:rsid w:val="5F751CD6"/>
    <w:rsid w:val="610E6CF7"/>
    <w:rsid w:val="61124A63"/>
    <w:rsid w:val="617E6C25"/>
    <w:rsid w:val="627E4B07"/>
    <w:rsid w:val="64473E12"/>
    <w:rsid w:val="68F51A1B"/>
    <w:rsid w:val="69112286"/>
    <w:rsid w:val="692570DB"/>
    <w:rsid w:val="6CC822C9"/>
    <w:rsid w:val="6FAB24A8"/>
    <w:rsid w:val="727512A4"/>
    <w:rsid w:val="76472224"/>
    <w:rsid w:val="7EAC420C"/>
    <w:rsid w:val="7F0C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spacing w:before="0" w:beforeAutospacing="0" w:after="0" w:afterAutospacing="0"/>
      <w:ind w:left="0" w:right="0"/>
      <w:jc w:val="center"/>
      <w:outlineLvl w:val="0"/>
    </w:pPr>
    <w:rPr>
      <w:rFonts w:hint="eastAsia" w:ascii="宋体" w:hAnsi="宋体" w:eastAsia="方正小标宋简体" w:cs="宋体"/>
      <w:bCs/>
      <w:snapToGrid w:val="0"/>
      <w:kern w:val="44"/>
      <w:sz w:val="44"/>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240" w:lineRule="auto"/>
      <w:ind w:leftChars="300" w:firstLine="0" w:firstLineChars="0"/>
      <w:outlineLvl w:val="1"/>
    </w:pPr>
    <w:rPr>
      <w:rFonts w:ascii="Arial" w:hAnsi="Arial" w:eastAsia="黑体"/>
      <w:sz w:val="32"/>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240" w:lineRule="auto"/>
      <w:ind w:leftChars="0"/>
      <w:jc w:val="left"/>
      <w:outlineLvl w:val="2"/>
    </w:pPr>
    <w:rPr>
      <w:rFonts w:eastAsia="方正楷体_GBK" w:asciiTheme="minorAscii" w:hAnsiTheme="minorAscii"/>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caption"/>
    <w:basedOn w:val="1"/>
    <w:next w:val="1"/>
    <w:link w:val="12"/>
    <w:semiHidden/>
    <w:unhideWhenUsed/>
    <w:qFormat/>
    <w:uiPriority w:val="0"/>
    <w:pPr>
      <w:ind w:firstLine="0" w:firstLineChars="0"/>
      <w:jc w:val="center"/>
    </w:pPr>
    <w:rPr>
      <w:rFonts w:ascii="Cambria" w:hAnsi="Cambria" w:eastAsia="楷体" w:cs="宋体"/>
      <w:sz w:val="28"/>
      <w:szCs w:val="20"/>
    </w:r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character" w:customStyle="1" w:styleId="10">
    <w:name w:val="标题 3 Char"/>
    <w:link w:val="4"/>
    <w:qFormat/>
    <w:uiPriority w:val="0"/>
    <w:rPr>
      <w:rFonts w:eastAsia="方正楷体_GBK" w:asciiTheme="minorAscii" w:hAnsiTheme="minorAscii"/>
      <w:b/>
      <w:sz w:val="32"/>
    </w:rPr>
  </w:style>
  <w:style w:type="character" w:customStyle="1" w:styleId="11">
    <w:name w:val="标题 1 Char"/>
    <w:link w:val="2"/>
    <w:qFormat/>
    <w:uiPriority w:val="0"/>
    <w:rPr>
      <w:rFonts w:ascii="宋体" w:hAnsi="宋体" w:eastAsia="方正小标宋简体" w:cs="宋体"/>
      <w:snapToGrid w:val="0"/>
      <w:spacing w:val="0"/>
      <w:kern w:val="44"/>
      <w:sz w:val="44"/>
    </w:rPr>
  </w:style>
  <w:style w:type="character" w:customStyle="1" w:styleId="12">
    <w:name w:val="题注 Char"/>
    <w:link w:val="5"/>
    <w:qFormat/>
    <w:uiPriority w:val="35"/>
    <w:rPr>
      <w:rFonts w:ascii="Cambria" w:hAnsi="Cambria" w:eastAsia="楷体"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2022-05-06T02:40:47Z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191E7FC9273F4013AA03BFE5DF20DCCD</vt:lpwstr>
  </property>
</Properties>
</file>